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6D" w:rsidRPr="00A85406" w:rsidRDefault="00BB476D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>Lycée</w:t>
      </w:r>
      <w:r w:rsidR="008C3CAA" w:rsidRPr="00A854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85406">
        <w:rPr>
          <w:rFonts w:ascii="Times New Roman" w:hAnsi="Times New Roman" w:cs="Times New Roman"/>
          <w:b/>
          <w:bCs/>
          <w:color w:val="000000"/>
        </w:rPr>
        <w:t xml:space="preserve">Félix Eboué– Philosophie – Khâgne </w:t>
      </w:r>
      <w:r w:rsidR="008C3CAA" w:rsidRPr="00A85406">
        <w:rPr>
          <w:rFonts w:ascii="Times New Roman" w:hAnsi="Times New Roman" w:cs="Times New Roman"/>
          <w:b/>
          <w:bCs/>
          <w:color w:val="000000"/>
        </w:rPr>
        <w:t xml:space="preserve">programme </w:t>
      </w:r>
      <w:r w:rsidRPr="00A85406">
        <w:rPr>
          <w:rFonts w:ascii="Times New Roman" w:hAnsi="Times New Roman" w:cs="Times New Roman"/>
          <w:b/>
          <w:bCs/>
          <w:color w:val="000000"/>
        </w:rPr>
        <w:t>ENS-Lyon – 2018-2019 Bibliographie sur l</w:t>
      </w:r>
      <w:r w:rsidR="00477B9C" w:rsidRPr="00A85406">
        <w:rPr>
          <w:rFonts w:ascii="Times New Roman" w:hAnsi="Times New Roman" w:cs="Times New Roman"/>
          <w:b/>
          <w:bCs/>
          <w:color w:val="000000"/>
        </w:rPr>
        <w:t>e domaine : « La métaphysique ».</w:t>
      </w:r>
      <w:r w:rsidRPr="00A8540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F6D0E" w:rsidRPr="00A85406" w:rsidRDefault="008F6D0E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bCs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  <w:highlight w:val="yellow"/>
        </w:rPr>
        <w:t>Recommandations</w:t>
      </w:r>
      <w:r w:rsidR="00477B9C" w:rsidRPr="00A8540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A85406">
        <w:rPr>
          <w:rFonts w:ascii="Times New Roman" w:hAnsi="Times New Roman" w:cs="Times New Roman"/>
          <w:b/>
          <w:bCs/>
          <w:color w:val="000000"/>
        </w:rPr>
        <w:t>: </w:t>
      </w:r>
      <w:proofErr w:type="gramEnd"/>
      <w:r w:rsidRPr="00A85406">
        <w:rPr>
          <w:rFonts w:ascii="Times New Roman" w:hAnsi="Times New Roman" w:cs="Times New Roman"/>
          <w:bCs/>
          <w:color w:val="000000"/>
        </w:rPr>
        <w:t>Est obligatoire la lecture d’un des quatre auteurs suivants, accompagné de son commentaire : Aristote, Leibniz, Kant ou Heidegger. L’idéal serait d’avoir lu Aristote (ainsi que le commentaire d’</w:t>
      </w:r>
      <w:proofErr w:type="spellStart"/>
      <w:r w:rsidRPr="00A85406">
        <w:rPr>
          <w:rFonts w:ascii="Times New Roman" w:hAnsi="Times New Roman" w:cs="Times New Roman"/>
          <w:bCs/>
          <w:color w:val="000000"/>
        </w:rPr>
        <w:t>Aubenque</w:t>
      </w:r>
      <w:proofErr w:type="spellEnd"/>
      <w:r w:rsidRPr="00A85406">
        <w:rPr>
          <w:rFonts w:ascii="Times New Roman" w:hAnsi="Times New Roman" w:cs="Times New Roman"/>
          <w:bCs/>
          <w:color w:val="000000"/>
        </w:rPr>
        <w:t>) et un autre auteur au choix. Il apparaît n</w:t>
      </w:r>
      <w:r w:rsidR="00477B9C" w:rsidRPr="00A85406">
        <w:rPr>
          <w:rFonts w:ascii="Times New Roman" w:hAnsi="Times New Roman" w:cs="Times New Roman"/>
          <w:bCs/>
          <w:color w:val="000000"/>
        </w:rPr>
        <w:t>écessaire de lire, puis de prendre des notes écrites, c’est-à-dire, comme pour une fiche de lecture, de consign</w:t>
      </w:r>
      <w:r w:rsidRPr="00A85406">
        <w:rPr>
          <w:rFonts w:ascii="Times New Roman" w:hAnsi="Times New Roman" w:cs="Times New Roman"/>
          <w:bCs/>
          <w:color w:val="000000"/>
        </w:rPr>
        <w:t xml:space="preserve">er des moments </w:t>
      </w:r>
      <w:r w:rsidR="00477B9C" w:rsidRPr="00A85406">
        <w:rPr>
          <w:rFonts w:ascii="Times New Roman" w:hAnsi="Times New Roman" w:cs="Times New Roman"/>
          <w:bCs/>
          <w:color w:val="000000"/>
        </w:rPr>
        <w:t>de lecture de façon bien détaillé</w:t>
      </w:r>
      <w:r w:rsidRPr="00A85406">
        <w:rPr>
          <w:rFonts w:ascii="Times New Roman" w:hAnsi="Times New Roman" w:cs="Times New Roman"/>
          <w:bCs/>
          <w:color w:val="000000"/>
        </w:rPr>
        <w:t xml:space="preserve">e (thèses, concepts, arguments, etc.). </w:t>
      </w:r>
    </w:p>
    <w:p w:rsidR="00B5796E" w:rsidRPr="00A85406" w:rsidRDefault="008F6D0E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85406">
        <w:rPr>
          <w:rFonts w:ascii="Times New Roman" w:hAnsi="Times New Roman" w:cs="Times New Roman"/>
          <w:bCs/>
          <w:color w:val="000000"/>
          <w:highlight w:val="cyan"/>
        </w:rPr>
        <w:t xml:space="preserve">L’ouvrage en lecture suivie sera Descartes, </w:t>
      </w:r>
      <w:r w:rsidRPr="00A85406">
        <w:rPr>
          <w:rFonts w:ascii="Times New Roman" w:hAnsi="Times New Roman" w:cs="Times New Roman"/>
          <w:bCs/>
          <w:i/>
          <w:color w:val="000000"/>
          <w:highlight w:val="cyan"/>
        </w:rPr>
        <w:t xml:space="preserve">Les méditations métaphysiques, </w:t>
      </w:r>
      <w:r w:rsidRPr="00A85406">
        <w:rPr>
          <w:rFonts w:ascii="Times New Roman" w:hAnsi="Times New Roman" w:cs="Times New Roman"/>
          <w:bCs/>
          <w:color w:val="000000"/>
          <w:highlight w:val="cyan"/>
        </w:rPr>
        <w:t>présentation par Marie-Dominique Pellegrin, Flammarion, 2009</w:t>
      </w:r>
    </w:p>
    <w:p w:rsidR="00B5796E" w:rsidRPr="00A85406" w:rsidRDefault="00B5796E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85406">
        <w:rPr>
          <w:rFonts w:ascii="Times New Roman" w:hAnsi="Times New Roman" w:cs="Times New Roman"/>
          <w:bCs/>
          <w:color w:val="000000"/>
          <w:highlight w:val="cyan"/>
        </w:rPr>
        <w:t>Achat du livre et lecture OBLIGATOIRES. Fiche de lecture à rendre pour la rentrée 2019</w:t>
      </w:r>
    </w:p>
    <w:p w:rsidR="008F6D0E" w:rsidRPr="00A85406" w:rsidRDefault="008F6D0E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6D0E" w:rsidRPr="00A85406" w:rsidRDefault="00E73861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  <w:highlight w:val="yellow"/>
        </w:rPr>
        <w:t>Bibliographie succincte</w:t>
      </w:r>
    </w:p>
    <w:p w:rsidR="003816B8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color w:val="000000"/>
        </w:rPr>
        <w:t>PLATON</w:t>
      </w:r>
      <w:r w:rsidRPr="00A85406">
        <w:rPr>
          <w:rFonts w:ascii="Times New Roman" w:hAnsi="Times New Roman" w:cs="Times New Roman"/>
          <w:color w:val="000000"/>
        </w:rPr>
        <w:t>,</w:t>
      </w:r>
      <w:r w:rsidR="003816B8" w:rsidRPr="00A85406">
        <w:rPr>
          <w:rFonts w:ascii="Times New Roman" w:hAnsi="Times New Roman" w:cs="Times New Roman"/>
          <w:color w:val="000000"/>
        </w:rPr>
        <w:t xml:space="preserve"> </w:t>
      </w:r>
      <w:r w:rsidR="003816B8" w:rsidRPr="00A85406">
        <w:rPr>
          <w:rFonts w:ascii="Times New Roman" w:hAnsi="Times New Roman" w:cs="Times New Roman"/>
          <w:i/>
          <w:iCs/>
          <w:color w:val="000000"/>
        </w:rPr>
        <w:t xml:space="preserve">Phédon </w:t>
      </w:r>
      <w:r w:rsidR="003816B8" w:rsidRPr="00A85406">
        <w:rPr>
          <w:rFonts w:ascii="Times New Roman" w:hAnsi="Times New Roman" w:cs="Times New Roman"/>
          <w:color w:val="000000"/>
        </w:rPr>
        <w:t xml:space="preserve">; </w:t>
      </w:r>
      <w:r w:rsidR="003816B8" w:rsidRPr="00A85406">
        <w:rPr>
          <w:rFonts w:ascii="Times New Roman" w:hAnsi="Times New Roman" w:cs="Times New Roman"/>
          <w:i/>
          <w:iCs/>
          <w:color w:val="000000"/>
        </w:rPr>
        <w:t xml:space="preserve">Parménide </w:t>
      </w:r>
      <w:r w:rsidR="003816B8" w:rsidRPr="00A85406">
        <w:rPr>
          <w:rFonts w:ascii="Times New Roman" w:hAnsi="Times New Roman" w:cs="Times New Roman"/>
          <w:color w:val="000000"/>
        </w:rPr>
        <w:t xml:space="preserve">; </w:t>
      </w:r>
      <w:r w:rsidR="00477B9C" w:rsidRPr="00A85406">
        <w:rPr>
          <w:rFonts w:ascii="Times New Roman" w:hAnsi="Times New Roman" w:cs="Times New Roman"/>
          <w:i/>
          <w:iCs/>
          <w:color w:val="000000"/>
        </w:rPr>
        <w:t>République, S</w:t>
      </w:r>
      <w:r w:rsidR="003816B8" w:rsidRPr="00A85406">
        <w:rPr>
          <w:rFonts w:ascii="Times New Roman" w:hAnsi="Times New Roman" w:cs="Times New Roman"/>
          <w:i/>
          <w:iCs/>
          <w:color w:val="000000"/>
        </w:rPr>
        <w:t xml:space="preserve">ophiste </w:t>
      </w:r>
      <w:r w:rsidR="003816B8" w:rsidRPr="00A85406">
        <w:rPr>
          <w:rFonts w:ascii="Times New Roman" w:hAnsi="Times New Roman" w:cs="Times New Roman"/>
          <w:color w:val="000000"/>
        </w:rPr>
        <w:t xml:space="preserve">; </w:t>
      </w:r>
      <w:r w:rsidR="003816B8" w:rsidRPr="00A85406">
        <w:rPr>
          <w:rFonts w:ascii="Times New Roman" w:hAnsi="Times New Roman" w:cs="Times New Roman"/>
          <w:i/>
          <w:iCs/>
          <w:color w:val="000000"/>
        </w:rPr>
        <w:t xml:space="preserve">Timée </w:t>
      </w:r>
      <w:r w:rsidR="003816B8" w:rsidRPr="00A85406">
        <w:rPr>
          <w:rFonts w:ascii="Times New Roman" w:hAnsi="Times New Roman" w:cs="Times New Roman"/>
          <w:color w:val="000000"/>
        </w:rPr>
        <w:t>(tous en « GF »). </w:t>
      </w:r>
    </w:p>
    <w:p w:rsidR="00BB476D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>ARISTOTE</w:t>
      </w:r>
      <w:r w:rsidRPr="00A85406">
        <w:rPr>
          <w:rFonts w:ascii="Times New Roman" w:hAnsi="Times New Roman" w:cs="Times New Roman"/>
          <w:color w:val="000000"/>
        </w:rPr>
        <w:t>,</w:t>
      </w:r>
      <w:r w:rsidR="00BB476D" w:rsidRPr="00A85406">
        <w:rPr>
          <w:rFonts w:ascii="Times New Roman" w:hAnsi="Times New Roman" w:cs="Times New Roman"/>
          <w:color w:val="000000"/>
        </w:rPr>
        <w:t xml:space="preserve">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>Métaphysique</w:t>
      </w:r>
      <w:r w:rsidR="00BB476D" w:rsidRPr="00A85406">
        <w:rPr>
          <w:rFonts w:ascii="Times New Roman" w:hAnsi="Times New Roman" w:cs="Times New Roman"/>
          <w:color w:val="000000"/>
        </w:rPr>
        <w:t>,</w:t>
      </w:r>
      <w:r w:rsidR="00477B9C" w:rsidRPr="00A85406">
        <w:rPr>
          <w:rFonts w:ascii="Times New Roman" w:hAnsi="Times New Roman" w:cs="Times New Roman"/>
          <w:color w:val="000000"/>
        </w:rPr>
        <w:t xml:space="preserve"> t. I, livres Α, Γ, Δ, Ε, Ζ, éd. </w:t>
      </w:r>
      <w:proofErr w:type="spellStart"/>
      <w:r w:rsidR="00BB476D" w:rsidRPr="00A85406">
        <w:rPr>
          <w:rFonts w:ascii="Times New Roman" w:hAnsi="Times New Roman" w:cs="Times New Roman"/>
          <w:color w:val="000000"/>
        </w:rPr>
        <w:t>Vrin</w:t>
      </w:r>
      <w:proofErr w:type="spellEnd"/>
      <w:r w:rsidR="00BB476D" w:rsidRPr="00A85406">
        <w:rPr>
          <w:rFonts w:ascii="Times New Roman" w:hAnsi="Times New Roman" w:cs="Times New Roman"/>
          <w:color w:val="000000"/>
        </w:rPr>
        <w:t xml:space="preserve">, 1966 (multiples rééditions, édition de poche disponible), tr. J. Tricot. </w:t>
      </w:r>
    </w:p>
    <w:p w:rsidR="007E006D" w:rsidRPr="00A85406" w:rsidRDefault="00BB476D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i/>
          <w:iCs/>
          <w:color w:val="000000"/>
        </w:rPr>
        <w:t>Commentaire</w:t>
      </w:r>
      <w:r w:rsidRPr="00A85406">
        <w:rPr>
          <w:rFonts w:ascii="Times New Roman" w:hAnsi="Times New Roman" w:cs="Times New Roman"/>
          <w:color w:val="000000"/>
        </w:rPr>
        <w:t xml:space="preserve">: P. </w:t>
      </w:r>
      <w:proofErr w:type="spellStart"/>
      <w:r w:rsidRPr="00A85406">
        <w:rPr>
          <w:rFonts w:ascii="Times New Roman" w:hAnsi="Times New Roman" w:cs="Times New Roman"/>
          <w:color w:val="000000"/>
        </w:rPr>
        <w:t>Aubenque</w:t>
      </w:r>
      <w:proofErr w:type="spellEnd"/>
      <w:r w:rsidRPr="00A85406">
        <w:rPr>
          <w:rFonts w:ascii="Times New Roman" w:hAnsi="Times New Roman" w:cs="Times New Roman"/>
          <w:color w:val="000000"/>
        </w:rPr>
        <w:t xml:space="preserve">, </w:t>
      </w:r>
      <w:r w:rsidRPr="00A85406">
        <w:rPr>
          <w:rFonts w:ascii="Times New Roman" w:hAnsi="Times New Roman" w:cs="Times New Roman"/>
          <w:i/>
          <w:iCs/>
          <w:color w:val="000000"/>
        </w:rPr>
        <w:t>Le problème de l’être chez Aristote</w:t>
      </w:r>
      <w:r w:rsidRPr="00A8540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85406">
        <w:rPr>
          <w:rFonts w:ascii="Times New Roman" w:hAnsi="Times New Roman" w:cs="Times New Roman"/>
          <w:color w:val="000000"/>
        </w:rPr>
        <w:t>Puf</w:t>
      </w:r>
      <w:proofErr w:type="spellEnd"/>
      <w:r w:rsidRPr="00A85406">
        <w:rPr>
          <w:rFonts w:ascii="Times New Roman" w:hAnsi="Times New Roman" w:cs="Times New Roman"/>
          <w:color w:val="000000"/>
        </w:rPr>
        <w:t xml:space="preserve">, coll. « Quadrige », 1991, Introduction : ch. I, </w:t>
      </w:r>
      <w:proofErr w:type="spellStart"/>
      <w:r w:rsidRPr="00A85406">
        <w:rPr>
          <w:rFonts w:ascii="Times New Roman" w:hAnsi="Times New Roman" w:cs="Times New Roman"/>
          <w:color w:val="000000"/>
        </w:rPr>
        <w:t>ch</w:t>
      </w:r>
      <w:proofErr w:type="spellEnd"/>
      <w:r w:rsidRPr="00A85406">
        <w:rPr>
          <w:rFonts w:ascii="Times New Roman" w:hAnsi="Times New Roman" w:cs="Times New Roman"/>
          <w:color w:val="000000"/>
        </w:rPr>
        <w:t xml:space="preserve">, II, Partie I, chapitre II. </w:t>
      </w:r>
    </w:p>
    <w:p w:rsidR="00D771F6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7E006D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color w:val="000000"/>
        </w:rPr>
        <w:t xml:space="preserve">PLOTIN, </w:t>
      </w:r>
      <w:r w:rsidR="001C628A" w:rsidRPr="00A85406">
        <w:rPr>
          <w:rFonts w:ascii="Times New Roman" w:hAnsi="Times New Roman" w:cs="Times New Roman"/>
          <w:color w:val="000000"/>
        </w:rPr>
        <w:t>Traité 54, traduction, commentaire et notes par Agnès Pigler, éd. Le Cerf</w:t>
      </w:r>
    </w:p>
    <w:p w:rsidR="007E006D" w:rsidRPr="00A85406" w:rsidRDefault="007E006D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i/>
          <w:color w:val="000000"/>
        </w:rPr>
        <w:t>Commentaire</w:t>
      </w:r>
      <w:r w:rsidRPr="00A85406">
        <w:rPr>
          <w:rFonts w:ascii="Times New Roman" w:hAnsi="Times New Roman" w:cs="Times New Roman"/>
          <w:i/>
          <w:color w:val="000000"/>
        </w:rPr>
        <w:t xml:space="preserve"> : Plotin, une métaphysique de l’amour,</w:t>
      </w:r>
      <w:r w:rsidRPr="00A85406">
        <w:rPr>
          <w:rFonts w:ascii="Times New Roman" w:hAnsi="Times New Roman" w:cs="Times New Roman"/>
          <w:color w:val="000000"/>
        </w:rPr>
        <w:t xml:space="preserve"> Agnès Pigler, éd. </w:t>
      </w:r>
      <w:proofErr w:type="spellStart"/>
      <w:r w:rsidRPr="00A85406">
        <w:rPr>
          <w:rFonts w:ascii="Times New Roman" w:hAnsi="Times New Roman" w:cs="Times New Roman"/>
          <w:color w:val="000000"/>
        </w:rPr>
        <w:t>Vrin</w:t>
      </w:r>
      <w:proofErr w:type="spellEnd"/>
    </w:p>
    <w:p w:rsidR="00D771F6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BB476D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>LEIBNIZ</w:t>
      </w:r>
      <w:r w:rsidRPr="00A85406">
        <w:rPr>
          <w:rFonts w:ascii="Times New Roman" w:hAnsi="Times New Roman" w:cs="Times New Roman"/>
          <w:color w:val="000000"/>
        </w:rPr>
        <w:t>,</w:t>
      </w:r>
      <w:r w:rsidR="00BB476D" w:rsidRPr="00A85406">
        <w:rPr>
          <w:rFonts w:ascii="Times New Roman" w:hAnsi="Times New Roman" w:cs="Times New Roman"/>
          <w:color w:val="000000"/>
        </w:rPr>
        <w:t xml:space="preserve">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 xml:space="preserve">De la production originelle des choses prise à sa racine </w:t>
      </w:r>
      <w:r w:rsidR="00BB476D" w:rsidRPr="00A85406">
        <w:rPr>
          <w:rFonts w:ascii="Times New Roman" w:hAnsi="Times New Roman" w:cs="Times New Roman"/>
          <w:color w:val="000000"/>
        </w:rPr>
        <w:t xml:space="preserve">in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>Opuscules philosophiques choisis</w:t>
      </w:r>
      <w:r w:rsidR="00BB476D" w:rsidRPr="00A85406">
        <w:rPr>
          <w:rFonts w:ascii="Times New Roman" w:hAnsi="Times New Roman" w:cs="Times New Roman"/>
          <w:color w:val="000000"/>
        </w:rPr>
        <w:t xml:space="preserve">, J. </w:t>
      </w:r>
      <w:proofErr w:type="spellStart"/>
      <w:r w:rsidR="00BB476D" w:rsidRPr="00A85406">
        <w:rPr>
          <w:rFonts w:ascii="Times New Roman" w:hAnsi="Times New Roman" w:cs="Times New Roman"/>
          <w:color w:val="000000"/>
        </w:rPr>
        <w:t>Vrin</w:t>
      </w:r>
      <w:proofErr w:type="spellEnd"/>
      <w:r w:rsidR="00BB476D" w:rsidRPr="00A85406">
        <w:rPr>
          <w:rFonts w:ascii="Times New Roman" w:hAnsi="Times New Roman" w:cs="Times New Roman"/>
          <w:color w:val="000000"/>
        </w:rPr>
        <w:t xml:space="preserve">, 1978, tr. P. </w:t>
      </w:r>
      <w:proofErr w:type="spellStart"/>
      <w:r w:rsidR="00BB476D" w:rsidRPr="00A85406">
        <w:rPr>
          <w:rFonts w:ascii="Times New Roman" w:hAnsi="Times New Roman" w:cs="Times New Roman"/>
          <w:color w:val="000000"/>
        </w:rPr>
        <w:t>Schrecker</w:t>
      </w:r>
      <w:proofErr w:type="spellEnd"/>
      <w:r w:rsidR="00BB476D" w:rsidRPr="00A85406">
        <w:rPr>
          <w:rFonts w:ascii="Times New Roman" w:hAnsi="Times New Roman" w:cs="Times New Roman"/>
          <w:color w:val="000000"/>
        </w:rPr>
        <w:t xml:space="preserve">. </w:t>
      </w:r>
    </w:p>
    <w:p w:rsidR="00E73861" w:rsidRPr="00A85406" w:rsidRDefault="00E73861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color w:val="000000"/>
        </w:rPr>
        <w:tab/>
        <w:t xml:space="preserve">      </w:t>
      </w:r>
      <w:r w:rsidRPr="00A85406">
        <w:rPr>
          <w:rFonts w:ascii="Times New Roman" w:hAnsi="Times New Roman" w:cs="Times New Roman"/>
          <w:i/>
          <w:color w:val="000000"/>
        </w:rPr>
        <w:t>Discours de métaphysique</w:t>
      </w:r>
      <w:r w:rsidRPr="00A85406">
        <w:rPr>
          <w:rFonts w:ascii="Times New Roman" w:hAnsi="Times New Roman" w:cs="Times New Roman"/>
          <w:color w:val="000000"/>
        </w:rPr>
        <w:t xml:space="preserve"> suivi de </w:t>
      </w:r>
      <w:r w:rsidRPr="00A85406">
        <w:rPr>
          <w:rFonts w:ascii="Times New Roman" w:hAnsi="Times New Roman" w:cs="Times New Roman"/>
          <w:i/>
          <w:color w:val="000000"/>
        </w:rPr>
        <w:t xml:space="preserve">La monadologie, </w:t>
      </w:r>
      <w:r w:rsidRPr="00A85406">
        <w:rPr>
          <w:rFonts w:ascii="Times New Roman" w:hAnsi="Times New Roman" w:cs="Times New Roman"/>
          <w:color w:val="000000"/>
        </w:rPr>
        <w:t>TEL, Gallimard, 1995</w:t>
      </w:r>
    </w:p>
    <w:p w:rsidR="00BB476D" w:rsidRPr="00A85406" w:rsidRDefault="00BB476D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i/>
          <w:iCs/>
          <w:color w:val="000000"/>
        </w:rPr>
        <w:t xml:space="preserve">Commentaire </w:t>
      </w:r>
      <w:r w:rsidRPr="00A85406">
        <w:rPr>
          <w:rFonts w:ascii="Times New Roman" w:hAnsi="Times New Roman" w:cs="Times New Roman"/>
          <w:color w:val="000000"/>
        </w:rPr>
        <w:t xml:space="preserve">: </w:t>
      </w:r>
      <w:r w:rsidRPr="00A85406">
        <w:rPr>
          <w:rFonts w:ascii="Times New Roman" w:hAnsi="Times New Roman" w:cs="Times New Roman"/>
          <w:i/>
          <w:iCs/>
          <w:color w:val="000000"/>
        </w:rPr>
        <w:t xml:space="preserve">in </w:t>
      </w:r>
      <w:r w:rsidRPr="00A85406">
        <w:rPr>
          <w:rFonts w:ascii="Times New Roman" w:hAnsi="Times New Roman" w:cs="Times New Roman"/>
          <w:color w:val="000000"/>
        </w:rPr>
        <w:t xml:space="preserve">Leibniz, </w:t>
      </w:r>
      <w:r w:rsidRPr="00A85406">
        <w:rPr>
          <w:rFonts w:ascii="Times New Roman" w:hAnsi="Times New Roman" w:cs="Times New Roman"/>
          <w:i/>
          <w:iCs/>
          <w:color w:val="000000"/>
        </w:rPr>
        <w:t>La monadologie</w:t>
      </w:r>
      <w:r w:rsidRPr="00A85406">
        <w:rPr>
          <w:rFonts w:ascii="Times New Roman" w:hAnsi="Times New Roman" w:cs="Times New Roman"/>
          <w:color w:val="000000"/>
        </w:rPr>
        <w:t xml:space="preserve">, Le livre de Poche, 1991 : « </w:t>
      </w:r>
      <w:r w:rsidRPr="00A85406">
        <w:rPr>
          <w:rFonts w:ascii="Times New Roman" w:hAnsi="Times New Roman" w:cs="Times New Roman"/>
          <w:i/>
          <w:iCs/>
          <w:color w:val="000000"/>
        </w:rPr>
        <w:t xml:space="preserve">La monadologie </w:t>
      </w:r>
      <w:r w:rsidRPr="00A85406">
        <w:rPr>
          <w:rFonts w:ascii="Times New Roman" w:hAnsi="Times New Roman" w:cs="Times New Roman"/>
          <w:color w:val="000000"/>
        </w:rPr>
        <w:t xml:space="preserve">de Leibniz » par J. </w:t>
      </w:r>
      <w:proofErr w:type="spellStart"/>
      <w:r w:rsidRPr="00A85406">
        <w:rPr>
          <w:rFonts w:ascii="Times New Roman" w:hAnsi="Times New Roman" w:cs="Times New Roman"/>
          <w:color w:val="000000"/>
        </w:rPr>
        <w:t>Rivelaygues</w:t>
      </w:r>
      <w:proofErr w:type="spellEnd"/>
      <w:r w:rsidRPr="00A85406">
        <w:rPr>
          <w:rFonts w:ascii="Times New Roman" w:hAnsi="Times New Roman" w:cs="Times New Roman"/>
          <w:color w:val="000000"/>
        </w:rPr>
        <w:t xml:space="preserve">, et « La philosophie de Leibnitz » par E. Boutroux. </w:t>
      </w:r>
    </w:p>
    <w:p w:rsidR="00BB476D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>KANT</w:t>
      </w:r>
      <w:r w:rsidRPr="00A85406">
        <w:rPr>
          <w:rFonts w:ascii="Times New Roman" w:hAnsi="Times New Roman" w:cs="Times New Roman"/>
          <w:color w:val="000000"/>
        </w:rPr>
        <w:t xml:space="preserve">,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>Critique de la raison pure</w:t>
      </w:r>
      <w:r w:rsidR="00BB476D" w:rsidRPr="00A85406">
        <w:rPr>
          <w:rFonts w:ascii="Times New Roman" w:hAnsi="Times New Roman" w:cs="Times New Roman"/>
          <w:color w:val="000000"/>
        </w:rPr>
        <w:t xml:space="preserve">, tr. A. </w:t>
      </w:r>
      <w:proofErr w:type="spellStart"/>
      <w:r w:rsidR="00BB476D" w:rsidRPr="00A85406">
        <w:rPr>
          <w:rFonts w:ascii="Times New Roman" w:hAnsi="Times New Roman" w:cs="Times New Roman"/>
          <w:color w:val="000000"/>
        </w:rPr>
        <w:t>Renaut</w:t>
      </w:r>
      <w:proofErr w:type="spellEnd"/>
      <w:r w:rsidR="00BB476D" w:rsidRPr="00A85406">
        <w:rPr>
          <w:rFonts w:ascii="Times New Roman" w:hAnsi="Times New Roman" w:cs="Times New Roman"/>
          <w:color w:val="000000"/>
        </w:rPr>
        <w:t xml:space="preserve">, GF, 2006, </w:t>
      </w:r>
    </w:p>
    <w:p w:rsidR="00BB476D" w:rsidRPr="00A85406" w:rsidRDefault="00BB476D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i/>
          <w:iCs/>
          <w:color w:val="000000"/>
        </w:rPr>
        <w:t xml:space="preserve">Commentaire </w:t>
      </w:r>
      <w:r w:rsidRPr="00A85406">
        <w:rPr>
          <w:rFonts w:ascii="Times New Roman" w:hAnsi="Times New Roman" w:cs="Times New Roman"/>
          <w:color w:val="000000"/>
        </w:rPr>
        <w:t xml:space="preserve">: P. Clavier, </w:t>
      </w:r>
      <w:r w:rsidRPr="00A85406">
        <w:rPr>
          <w:rFonts w:ascii="Times New Roman" w:hAnsi="Times New Roman" w:cs="Times New Roman"/>
          <w:i/>
          <w:iCs/>
          <w:color w:val="000000"/>
        </w:rPr>
        <w:t>Kant. Les idées cosmologiques</w:t>
      </w:r>
      <w:r w:rsidRPr="00A8540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85406">
        <w:rPr>
          <w:rFonts w:ascii="Times New Roman" w:hAnsi="Times New Roman" w:cs="Times New Roman"/>
          <w:color w:val="000000"/>
        </w:rPr>
        <w:t>Puf</w:t>
      </w:r>
      <w:proofErr w:type="spellEnd"/>
      <w:r w:rsidRPr="00A85406">
        <w:rPr>
          <w:rFonts w:ascii="Times New Roman" w:hAnsi="Times New Roman" w:cs="Times New Roman"/>
          <w:color w:val="000000"/>
        </w:rPr>
        <w:t>, coll. « Philosophies », 1997.  </w:t>
      </w:r>
    </w:p>
    <w:p w:rsidR="00D771F6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E73861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color w:val="000000"/>
        </w:rPr>
        <w:t xml:space="preserve">HEGEL, </w:t>
      </w:r>
      <w:r w:rsidR="00E73861" w:rsidRPr="00A85406">
        <w:rPr>
          <w:rFonts w:ascii="Times New Roman" w:hAnsi="Times New Roman" w:cs="Times New Roman"/>
          <w:i/>
          <w:color w:val="000000"/>
        </w:rPr>
        <w:t xml:space="preserve">La phénoménologie de l’esprit, </w:t>
      </w:r>
      <w:r w:rsidR="00E73861" w:rsidRPr="00A85406">
        <w:rPr>
          <w:rFonts w:ascii="Times New Roman" w:hAnsi="Times New Roman" w:cs="Times New Roman"/>
          <w:color w:val="000000"/>
        </w:rPr>
        <w:t xml:space="preserve">GF, </w:t>
      </w:r>
      <w:r w:rsidR="00E73861" w:rsidRPr="00A85406">
        <w:rPr>
          <w:rFonts w:ascii="Times New Roman" w:hAnsi="Times New Roman" w:cs="Times New Roman"/>
          <w:i/>
          <w:color w:val="000000"/>
        </w:rPr>
        <w:t xml:space="preserve">Propédeutique philosophique, </w:t>
      </w:r>
      <w:r w:rsidR="00E73861" w:rsidRPr="00A85406">
        <w:rPr>
          <w:rFonts w:ascii="Times New Roman" w:hAnsi="Times New Roman" w:cs="Times New Roman"/>
          <w:color w:val="000000"/>
        </w:rPr>
        <w:t>éd. Denoël, collection Médiations, 1971.</w:t>
      </w:r>
    </w:p>
    <w:p w:rsidR="00E73861" w:rsidRPr="00A85406" w:rsidRDefault="00E73861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i/>
          <w:color w:val="000000"/>
        </w:rPr>
        <w:t>Commentaire</w:t>
      </w:r>
      <w:r w:rsidRPr="00A85406">
        <w:rPr>
          <w:rFonts w:ascii="Times New Roman" w:hAnsi="Times New Roman" w:cs="Times New Roman"/>
          <w:color w:val="000000"/>
        </w:rPr>
        <w:t xml:space="preserve"> : Bernard </w:t>
      </w:r>
      <w:proofErr w:type="spellStart"/>
      <w:r w:rsidRPr="00A85406">
        <w:rPr>
          <w:rFonts w:ascii="Times New Roman" w:hAnsi="Times New Roman" w:cs="Times New Roman"/>
          <w:color w:val="000000"/>
        </w:rPr>
        <w:t>Mabille</w:t>
      </w:r>
      <w:proofErr w:type="spellEnd"/>
      <w:r w:rsidRPr="00A85406">
        <w:rPr>
          <w:rFonts w:ascii="Times New Roman" w:hAnsi="Times New Roman" w:cs="Times New Roman"/>
          <w:color w:val="000000"/>
        </w:rPr>
        <w:t xml:space="preserve">, </w:t>
      </w:r>
      <w:r w:rsidRPr="00A85406">
        <w:rPr>
          <w:rFonts w:ascii="Times New Roman" w:hAnsi="Times New Roman" w:cs="Times New Roman"/>
          <w:i/>
          <w:color w:val="000000"/>
        </w:rPr>
        <w:t xml:space="preserve">Hegel. L’épreuve de la contingence, </w:t>
      </w:r>
      <w:r w:rsidRPr="00A85406">
        <w:rPr>
          <w:rFonts w:ascii="Times New Roman" w:hAnsi="Times New Roman" w:cs="Times New Roman"/>
          <w:color w:val="000000"/>
        </w:rPr>
        <w:t>éd. Aubier</w:t>
      </w:r>
    </w:p>
    <w:p w:rsidR="00D771F6" w:rsidRPr="00A85406" w:rsidRDefault="00D771F6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</w:p>
    <w:p w:rsidR="00477B9C" w:rsidRPr="00A85406" w:rsidRDefault="00D771F6" w:rsidP="006520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>BERGSON</w:t>
      </w:r>
      <w:r w:rsidRPr="00A85406">
        <w:rPr>
          <w:rFonts w:ascii="Times New Roman" w:hAnsi="Times New Roman" w:cs="Times New Roman"/>
          <w:color w:val="000000"/>
        </w:rPr>
        <w:t>,</w:t>
      </w:r>
      <w:r w:rsidR="00BB476D" w:rsidRPr="00A85406">
        <w:rPr>
          <w:rFonts w:ascii="Times New Roman" w:hAnsi="Times New Roman" w:cs="Times New Roman"/>
          <w:color w:val="000000"/>
        </w:rPr>
        <w:t xml:space="preserve">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>La pensée et le mouvant</w:t>
      </w:r>
      <w:r w:rsidR="00BB476D" w:rsidRPr="00A8540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BB476D" w:rsidRPr="00A85406">
        <w:rPr>
          <w:rFonts w:ascii="Times New Roman" w:hAnsi="Times New Roman" w:cs="Times New Roman"/>
          <w:color w:val="000000"/>
        </w:rPr>
        <w:t>Puf</w:t>
      </w:r>
      <w:proofErr w:type="spellEnd"/>
      <w:r w:rsidR="00BB476D" w:rsidRPr="00A85406">
        <w:rPr>
          <w:rFonts w:ascii="Times New Roman" w:hAnsi="Times New Roman" w:cs="Times New Roman"/>
          <w:color w:val="000000"/>
        </w:rPr>
        <w:t>, coll. « Quadrige », 2003 (multiples éditions), particulièrement, « Le possible et le réel », « La perception du changement », « In</w:t>
      </w:r>
      <w:r w:rsidR="00477B9C" w:rsidRPr="00A85406">
        <w:rPr>
          <w:rFonts w:ascii="Times New Roman" w:hAnsi="Times New Roman" w:cs="Times New Roman"/>
          <w:color w:val="000000"/>
        </w:rPr>
        <w:t>troduction à la métaphysique ».</w:t>
      </w:r>
    </w:p>
    <w:p w:rsidR="00BB476D" w:rsidRPr="00A85406" w:rsidRDefault="00477B9C" w:rsidP="006520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i/>
          <w:color w:val="000000"/>
        </w:rPr>
        <w:t>Commentaire</w:t>
      </w:r>
      <w:r w:rsidR="00BB476D" w:rsidRPr="00A85406">
        <w:rPr>
          <w:rFonts w:ascii="Times New Roman" w:hAnsi="Times New Roman" w:cs="Times New Roman"/>
          <w:color w:val="000000"/>
        </w:rPr>
        <w:t> </w:t>
      </w:r>
      <w:r w:rsidRPr="00A85406">
        <w:rPr>
          <w:rFonts w:ascii="Times New Roman" w:hAnsi="Times New Roman" w:cs="Times New Roman"/>
          <w:color w:val="000000"/>
        </w:rPr>
        <w:t xml:space="preserve"> : Vladimir Jankélévitch, </w:t>
      </w:r>
      <w:r w:rsidRPr="00A85406">
        <w:rPr>
          <w:rFonts w:ascii="Times New Roman" w:hAnsi="Times New Roman" w:cs="Times New Roman"/>
          <w:i/>
          <w:color w:val="000000"/>
        </w:rPr>
        <w:t>Henri Bergson</w:t>
      </w:r>
      <w:r w:rsidRPr="00A85406">
        <w:rPr>
          <w:rFonts w:ascii="Times New Roman" w:hAnsi="Times New Roman" w:cs="Times New Roman"/>
          <w:color w:val="000000"/>
        </w:rPr>
        <w:t>, éd. PUF, Quadrige, 1989.</w:t>
      </w:r>
    </w:p>
    <w:p w:rsidR="00477B9C" w:rsidRPr="00A85406" w:rsidRDefault="00477B9C" w:rsidP="006520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3816B8" w:rsidRPr="00A85406" w:rsidRDefault="00D771F6" w:rsidP="006520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jc w:val="both"/>
        <w:rPr>
          <w:rFonts w:ascii="Times New Roman" w:hAnsi="Times New Roman" w:cs="Times New Roman"/>
          <w:bCs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 xml:space="preserve">SHOPENHAUER, </w:t>
      </w:r>
      <w:r w:rsidR="003816B8" w:rsidRPr="00A85406">
        <w:rPr>
          <w:rFonts w:ascii="Times New Roman" w:hAnsi="Times New Roman" w:cs="Times New Roman"/>
          <w:bCs/>
          <w:i/>
          <w:iCs/>
          <w:color w:val="000000"/>
        </w:rPr>
        <w:t>Le monde comme volonté et comme représentation</w:t>
      </w:r>
      <w:r w:rsidR="003816B8" w:rsidRPr="00A85406">
        <w:rPr>
          <w:rFonts w:ascii="Times New Roman" w:hAnsi="Times New Roman" w:cs="Times New Roman"/>
          <w:bCs/>
          <w:color w:val="000000"/>
        </w:rPr>
        <w:t>,</w:t>
      </w:r>
      <w:r w:rsidR="003816B8" w:rsidRPr="00A8540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816B8" w:rsidRPr="00A85406">
        <w:rPr>
          <w:rFonts w:ascii="Times New Roman" w:hAnsi="Times New Roman" w:cs="Times New Roman"/>
          <w:bCs/>
          <w:color w:val="000000"/>
        </w:rPr>
        <w:t xml:space="preserve">trad. A. </w:t>
      </w:r>
      <w:proofErr w:type="spellStart"/>
      <w:r w:rsidR="003816B8" w:rsidRPr="00A85406">
        <w:rPr>
          <w:rFonts w:ascii="Times New Roman" w:hAnsi="Times New Roman" w:cs="Times New Roman"/>
          <w:bCs/>
          <w:color w:val="000000"/>
        </w:rPr>
        <w:t>Burdeau</w:t>
      </w:r>
      <w:proofErr w:type="spellEnd"/>
      <w:r w:rsidR="003816B8" w:rsidRPr="00A85406">
        <w:rPr>
          <w:rFonts w:ascii="Times New Roman" w:hAnsi="Times New Roman" w:cs="Times New Roman"/>
          <w:bCs/>
          <w:color w:val="000000"/>
        </w:rPr>
        <w:t xml:space="preserve">, P. U. F. (« Quadrige » Grands textes), 2004. </w:t>
      </w:r>
    </w:p>
    <w:p w:rsidR="00BB476D" w:rsidRPr="00A85406" w:rsidRDefault="00D771F6" w:rsidP="006520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80" w:lineRule="atLeast"/>
        <w:ind w:hanging="720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>HEIDEGGER</w:t>
      </w:r>
      <w:r w:rsidRPr="00A85406">
        <w:rPr>
          <w:rFonts w:ascii="Times New Roman" w:hAnsi="Times New Roman" w:cs="Times New Roman"/>
          <w:color w:val="000000"/>
        </w:rPr>
        <w:t>,</w:t>
      </w:r>
      <w:r w:rsidR="00BB476D" w:rsidRPr="00A85406">
        <w:rPr>
          <w:rFonts w:ascii="Times New Roman" w:hAnsi="Times New Roman" w:cs="Times New Roman"/>
          <w:color w:val="000000"/>
        </w:rPr>
        <w:t xml:space="preserve">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 xml:space="preserve">Qu’est-ce que la métaphysique ? </w:t>
      </w:r>
      <w:r w:rsidR="00BB476D" w:rsidRPr="00A85406">
        <w:rPr>
          <w:rFonts w:ascii="Times New Roman" w:hAnsi="Times New Roman" w:cs="Times New Roman"/>
          <w:color w:val="000000"/>
        </w:rPr>
        <w:t xml:space="preserve">in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 xml:space="preserve">Questions </w:t>
      </w:r>
      <w:r w:rsidR="00BB476D" w:rsidRPr="00A85406">
        <w:rPr>
          <w:rFonts w:ascii="Times New Roman" w:hAnsi="Times New Roman" w:cs="Times New Roman"/>
          <w:color w:val="000000"/>
        </w:rPr>
        <w:t xml:space="preserve">I &amp; II, Gallimard, coll. «Tel », 1990. </w:t>
      </w:r>
    </w:p>
    <w:p w:rsidR="003440A9" w:rsidRPr="00A85406" w:rsidRDefault="00BB476D" w:rsidP="00652073">
      <w:pPr>
        <w:widowControl w:val="0"/>
        <w:autoSpaceDE w:val="0"/>
        <w:autoSpaceDN w:val="0"/>
        <w:adjustRightInd w:val="0"/>
        <w:spacing w:after="240" w:line="38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i/>
          <w:iCs/>
          <w:color w:val="000000"/>
        </w:rPr>
        <w:t>Commentaire</w:t>
      </w:r>
      <w:r w:rsidR="00D771F6" w:rsidRPr="00A85406">
        <w:rPr>
          <w:rFonts w:ascii="Times New Roman" w:hAnsi="Times New Roman" w:cs="Times New Roman"/>
          <w:b/>
          <w:bCs/>
          <w:i/>
          <w:iCs/>
          <w:color w:val="000000"/>
        </w:rPr>
        <w:t>s</w:t>
      </w:r>
      <w:r w:rsidRPr="00A85406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A85406">
        <w:rPr>
          <w:rFonts w:ascii="Times New Roman" w:hAnsi="Times New Roman" w:cs="Times New Roman"/>
          <w:color w:val="000000"/>
        </w:rPr>
        <w:t xml:space="preserve">: H. </w:t>
      </w:r>
      <w:proofErr w:type="spellStart"/>
      <w:r w:rsidRPr="00A85406">
        <w:rPr>
          <w:rFonts w:ascii="Times New Roman" w:hAnsi="Times New Roman" w:cs="Times New Roman"/>
          <w:color w:val="000000"/>
        </w:rPr>
        <w:t>Birault</w:t>
      </w:r>
      <w:proofErr w:type="spellEnd"/>
      <w:r w:rsidRPr="00A85406">
        <w:rPr>
          <w:rFonts w:ascii="Times New Roman" w:hAnsi="Times New Roman" w:cs="Times New Roman"/>
          <w:color w:val="000000"/>
        </w:rPr>
        <w:t xml:space="preserve">, </w:t>
      </w:r>
      <w:r w:rsidRPr="00A85406">
        <w:rPr>
          <w:rFonts w:ascii="Times New Roman" w:hAnsi="Times New Roman" w:cs="Times New Roman"/>
          <w:i/>
          <w:iCs/>
          <w:color w:val="000000"/>
        </w:rPr>
        <w:t>Heidegger et l’expérience de la pensée</w:t>
      </w:r>
      <w:r w:rsidRPr="00A85406">
        <w:rPr>
          <w:rFonts w:ascii="Times New Roman" w:hAnsi="Times New Roman" w:cs="Times New Roman"/>
          <w:color w:val="000000"/>
        </w:rPr>
        <w:t xml:space="preserve">, Gallimard, 1978. </w:t>
      </w:r>
    </w:p>
    <w:p w:rsidR="003816B8" w:rsidRPr="00A85406" w:rsidRDefault="003816B8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bCs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>L’</w:t>
      </w:r>
      <w:r w:rsidRPr="00A85406">
        <w:rPr>
          <w:rFonts w:ascii="Times New Roman" w:hAnsi="Times New Roman" w:cs="Times New Roman"/>
          <w:b/>
          <w:bCs/>
          <w:i/>
          <w:iCs/>
          <w:color w:val="000000"/>
        </w:rPr>
        <w:t>Introduction à la métaphysique</w:t>
      </w:r>
      <w:r w:rsidRPr="00A85406">
        <w:rPr>
          <w:rFonts w:ascii="Times New Roman" w:hAnsi="Times New Roman" w:cs="Times New Roman"/>
          <w:b/>
          <w:bCs/>
          <w:color w:val="000000"/>
        </w:rPr>
        <w:t> de Heidegger,</w:t>
      </w:r>
      <w:r w:rsidRPr="00A85406">
        <w:rPr>
          <w:rFonts w:ascii="Times New Roman" w:hAnsi="Times New Roman" w:cs="Times New Roman"/>
          <w:bCs/>
          <w:color w:val="000000"/>
        </w:rPr>
        <w:t xml:space="preserve"> Jean-François Courtine (</w:t>
      </w:r>
      <w:proofErr w:type="spellStart"/>
      <w:r w:rsidRPr="00A85406">
        <w:rPr>
          <w:rFonts w:ascii="Times New Roman" w:hAnsi="Times New Roman" w:cs="Times New Roman"/>
          <w:bCs/>
          <w:color w:val="000000"/>
        </w:rPr>
        <w:t>dir</w:t>
      </w:r>
      <w:proofErr w:type="spellEnd"/>
      <w:r w:rsidRPr="00A85406">
        <w:rPr>
          <w:rFonts w:ascii="Times New Roman" w:hAnsi="Times New Roman" w:cs="Times New Roman"/>
          <w:bCs/>
          <w:color w:val="000000"/>
        </w:rPr>
        <w:t xml:space="preserve">), éd ; </w:t>
      </w:r>
      <w:proofErr w:type="spellStart"/>
      <w:r w:rsidRPr="00A85406">
        <w:rPr>
          <w:rFonts w:ascii="Times New Roman" w:hAnsi="Times New Roman" w:cs="Times New Roman"/>
          <w:bCs/>
          <w:color w:val="000000"/>
        </w:rPr>
        <w:t>Vrin</w:t>
      </w:r>
      <w:proofErr w:type="spellEnd"/>
      <w:r w:rsidRPr="00A85406">
        <w:rPr>
          <w:rFonts w:ascii="Times New Roman" w:hAnsi="Times New Roman" w:cs="Times New Roman"/>
          <w:bCs/>
          <w:color w:val="000000"/>
        </w:rPr>
        <w:t>, 2007.</w:t>
      </w:r>
    </w:p>
    <w:p w:rsidR="00BB476D" w:rsidRPr="00A85406" w:rsidRDefault="00BB476D" w:rsidP="0065207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  <w:highlight w:val="yellow"/>
        </w:rPr>
        <w:t>Ouvrages généraux :</w:t>
      </w:r>
      <w:r w:rsidRPr="00A85406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0" w:name="_GoBack"/>
      <w:bookmarkEnd w:id="0"/>
    </w:p>
    <w:p w:rsidR="00E73861" w:rsidRPr="00A85406" w:rsidRDefault="00D771F6" w:rsidP="0065207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color w:val="000000"/>
        </w:rPr>
        <w:t>E. GILSON,</w:t>
      </w:r>
      <w:r w:rsidRPr="00A85406">
        <w:rPr>
          <w:rFonts w:ascii="Times New Roman" w:hAnsi="Times New Roman" w:cs="Times New Roman"/>
          <w:color w:val="000000"/>
        </w:rPr>
        <w:t xml:space="preserve"> </w:t>
      </w:r>
      <w:r w:rsidR="00BB476D" w:rsidRPr="00A85406">
        <w:rPr>
          <w:rFonts w:ascii="Times New Roman" w:hAnsi="Times New Roman" w:cs="Times New Roman"/>
          <w:i/>
          <w:iCs/>
          <w:color w:val="000000"/>
        </w:rPr>
        <w:t>L’être et l’essence</w:t>
      </w:r>
      <w:r w:rsidR="00BB476D" w:rsidRPr="00A85406">
        <w:rPr>
          <w:rFonts w:ascii="Times New Roman" w:hAnsi="Times New Roman" w:cs="Times New Roman"/>
          <w:color w:val="000000"/>
        </w:rPr>
        <w:t xml:space="preserve">, J. </w:t>
      </w:r>
      <w:proofErr w:type="spellStart"/>
      <w:r w:rsidR="00BB476D" w:rsidRPr="00A85406">
        <w:rPr>
          <w:rFonts w:ascii="Times New Roman" w:hAnsi="Times New Roman" w:cs="Times New Roman"/>
          <w:color w:val="000000"/>
        </w:rPr>
        <w:t>Vrin</w:t>
      </w:r>
      <w:proofErr w:type="spellEnd"/>
      <w:r w:rsidR="00BB476D" w:rsidRPr="00A85406">
        <w:rPr>
          <w:rFonts w:ascii="Times New Roman" w:hAnsi="Times New Roman" w:cs="Times New Roman"/>
          <w:color w:val="000000"/>
        </w:rPr>
        <w:t>, 1994. </w:t>
      </w:r>
    </w:p>
    <w:p w:rsidR="007E006D" w:rsidRPr="00A85406" w:rsidRDefault="00D771F6" w:rsidP="00652073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80" w:lineRule="atLeast"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bCs/>
          <w:color w:val="000000"/>
        </w:rPr>
        <w:t xml:space="preserve">J.-M. NARBONNE </w:t>
      </w:r>
      <w:r w:rsidRPr="00A85406">
        <w:rPr>
          <w:rFonts w:ascii="Times New Roman" w:hAnsi="Times New Roman" w:cs="Times New Roman"/>
          <w:b/>
          <w:color w:val="000000"/>
        </w:rPr>
        <w:t xml:space="preserve">ET </w:t>
      </w:r>
      <w:r w:rsidRPr="00A85406">
        <w:rPr>
          <w:rFonts w:ascii="Times New Roman" w:hAnsi="Times New Roman" w:cs="Times New Roman"/>
          <w:b/>
          <w:bCs/>
          <w:color w:val="000000"/>
        </w:rPr>
        <w:t xml:space="preserve">L. LANGLOIS </w:t>
      </w:r>
      <w:r w:rsidRPr="00A85406">
        <w:rPr>
          <w:rFonts w:ascii="Times New Roman" w:hAnsi="Times New Roman" w:cs="Times New Roman"/>
          <w:b/>
          <w:color w:val="000000"/>
        </w:rPr>
        <w:t>(EDS.),</w:t>
      </w:r>
      <w:r w:rsidRPr="00A85406">
        <w:rPr>
          <w:rFonts w:ascii="Times New Roman" w:hAnsi="Times New Roman" w:cs="Times New Roman"/>
          <w:color w:val="000000"/>
        </w:rPr>
        <w:t xml:space="preserve"> </w:t>
      </w:r>
      <w:r w:rsidR="007E006D" w:rsidRPr="00A85406">
        <w:rPr>
          <w:rFonts w:ascii="Times New Roman" w:hAnsi="Times New Roman" w:cs="Times New Roman"/>
          <w:i/>
          <w:iCs/>
          <w:color w:val="000000"/>
        </w:rPr>
        <w:t>La métaphysique : son histoire, sa critique, ses enjeux</w:t>
      </w:r>
      <w:r w:rsidR="007E006D" w:rsidRPr="00A85406">
        <w:rPr>
          <w:rFonts w:ascii="Times New Roman" w:hAnsi="Times New Roman" w:cs="Times New Roman"/>
          <w:color w:val="000000"/>
        </w:rPr>
        <w:t>, "</w:t>
      </w:r>
      <w:proofErr w:type="spellStart"/>
      <w:r w:rsidR="007E006D" w:rsidRPr="00A85406">
        <w:rPr>
          <w:rFonts w:ascii="Times New Roman" w:hAnsi="Times New Roman" w:cs="Times New Roman"/>
          <w:color w:val="000000"/>
        </w:rPr>
        <w:t>Zêtêsis</w:t>
      </w:r>
      <w:proofErr w:type="spellEnd"/>
      <w:r w:rsidR="007E006D" w:rsidRPr="00A85406">
        <w:rPr>
          <w:rFonts w:ascii="Times New Roman" w:hAnsi="Times New Roman" w:cs="Times New Roman"/>
          <w:color w:val="000000"/>
        </w:rPr>
        <w:t xml:space="preserve">", P.U.L. / </w:t>
      </w:r>
      <w:proofErr w:type="spellStart"/>
      <w:r w:rsidR="007E006D" w:rsidRPr="00A85406">
        <w:rPr>
          <w:rFonts w:ascii="Times New Roman" w:hAnsi="Times New Roman" w:cs="Times New Roman"/>
          <w:color w:val="000000"/>
        </w:rPr>
        <w:t>Vrin</w:t>
      </w:r>
      <w:proofErr w:type="spellEnd"/>
      <w:r w:rsidR="007E006D" w:rsidRPr="00A85406">
        <w:rPr>
          <w:rFonts w:ascii="Times New Roman" w:hAnsi="Times New Roman" w:cs="Times New Roman"/>
          <w:color w:val="000000"/>
        </w:rPr>
        <w:t xml:space="preserve">, 1999 </w:t>
      </w:r>
    </w:p>
    <w:p w:rsidR="007E006D" w:rsidRPr="00A85406" w:rsidRDefault="00D771F6" w:rsidP="00652073">
      <w:pPr>
        <w:pStyle w:val="Paragraphedeliste"/>
        <w:numPr>
          <w:ilvl w:val="0"/>
          <w:numId w:val="2"/>
        </w:numPr>
        <w:spacing w:line="380" w:lineRule="atLeast"/>
        <w:jc w:val="both"/>
        <w:rPr>
          <w:rFonts w:ascii="Times New Roman" w:hAnsi="Times New Roman" w:cs="Times New Roman"/>
          <w:color w:val="000000"/>
        </w:rPr>
      </w:pPr>
      <w:r w:rsidRPr="00A85406">
        <w:rPr>
          <w:rFonts w:ascii="Times New Roman" w:hAnsi="Times New Roman" w:cs="Times New Roman"/>
          <w:b/>
          <w:color w:val="000000"/>
        </w:rPr>
        <w:t>P. HADOT,</w:t>
      </w:r>
      <w:r w:rsidRPr="00A85406">
        <w:rPr>
          <w:rFonts w:ascii="Times New Roman" w:hAnsi="Times New Roman" w:cs="Times New Roman"/>
          <w:color w:val="000000"/>
        </w:rPr>
        <w:t xml:space="preserve"> </w:t>
      </w:r>
      <w:r w:rsidR="003816B8" w:rsidRPr="00A85406">
        <w:rPr>
          <w:rFonts w:ascii="Times New Roman" w:hAnsi="Times New Roman" w:cs="Times New Roman"/>
          <w:i/>
          <w:iCs/>
          <w:color w:val="000000"/>
        </w:rPr>
        <w:t>Plotin ou la simplicité du regard</w:t>
      </w:r>
      <w:r w:rsidR="003816B8" w:rsidRPr="00A85406">
        <w:rPr>
          <w:rFonts w:ascii="Times New Roman" w:hAnsi="Times New Roman" w:cs="Times New Roman"/>
          <w:color w:val="000000"/>
        </w:rPr>
        <w:t xml:space="preserve">, Gallimard (« folio » essais), 1997. </w:t>
      </w:r>
    </w:p>
    <w:p w:rsidR="00A517A9" w:rsidRPr="00A85406" w:rsidRDefault="00A517A9" w:rsidP="00652073">
      <w:pPr>
        <w:jc w:val="both"/>
        <w:rPr>
          <w:rFonts w:ascii="Times New Roman" w:hAnsi="Times New Roman" w:cs="Times New Roman"/>
        </w:rPr>
      </w:pPr>
    </w:p>
    <w:p w:rsidR="008F6D0E" w:rsidRPr="00A85406" w:rsidRDefault="008F6D0E" w:rsidP="00652073">
      <w:pPr>
        <w:jc w:val="both"/>
      </w:pPr>
    </w:p>
    <w:sectPr w:rsidR="008F6D0E" w:rsidRPr="00A85406" w:rsidSect="002313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59646B"/>
    <w:multiLevelType w:val="hybridMultilevel"/>
    <w:tmpl w:val="A8CC077C"/>
    <w:lvl w:ilvl="0" w:tplc="89B43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03B90"/>
    <w:multiLevelType w:val="hybridMultilevel"/>
    <w:tmpl w:val="1390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AE407C7"/>
    <w:multiLevelType w:val="hybridMultilevel"/>
    <w:tmpl w:val="4A540244"/>
    <w:lvl w:ilvl="0" w:tplc="874E3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BB476D"/>
    <w:rsid w:val="001C628A"/>
    <w:rsid w:val="003352D7"/>
    <w:rsid w:val="003440A9"/>
    <w:rsid w:val="003816B8"/>
    <w:rsid w:val="00477B9C"/>
    <w:rsid w:val="00480093"/>
    <w:rsid w:val="00652073"/>
    <w:rsid w:val="00793E9A"/>
    <w:rsid w:val="007E006D"/>
    <w:rsid w:val="008C3CAA"/>
    <w:rsid w:val="008F6D0E"/>
    <w:rsid w:val="00924F06"/>
    <w:rsid w:val="009A0BC7"/>
    <w:rsid w:val="00A517A9"/>
    <w:rsid w:val="00A85406"/>
    <w:rsid w:val="00B5796E"/>
    <w:rsid w:val="00BB476D"/>
    <w:rsid w:val="00CE62FC"/>
    <w:rsid w:val="00D771F6"/>
    <w:rsid w:val="00E7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Pigler</dc:creator>
  <cp:lastModifiedBy>Prov_Adj 1</cp:lastModifiedBy>
  <cp:revision>2</cp:revision>
  <dcterms:created xsi:type="dcterms:W3CDTF">2018-06-05T12:35:00Z</dcterms:created>
  <dcterms:modified xsi:type="dcterms:W3CDTF">2018-06-05T12:35:00Z</dcterms:modified>
</cp:coreProperties>
</file>